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eine öffentliche Ausschreibung gemäß VOB/A</w:t>
      </w:r>
    </w:p>
    <w:p>
      <w:pPr>
        <w:spacing w:line="240" w:lineRule="auto"/>
        <w:jc w:val="center"/>
      </w:pPr>
    </w:p>
    <w:p>
      <w:pPr>
        <w:spacing w:line="276" w:lineRule="auto"/>
        <w:ind w:left="1701" w:hanging="1701"/>
        <w:jc w:val="left"/>
        <w:rPr>
          <w:b/>
        </w:rPr>
      </w:pPr>
      <w:r>
        <w:t>Baumaßnahme:</w:t>
      </w:r>
      <w:r>
        <w:tab/>
      </w:r>
      <w:r>
        <w:rPr>
          <w:b/>
        </w:rPr>
        <w:t>Sanierung Sporthalle Lehnerstraße - Rohbauarbeiten</w:t>
      </w:r>
    </w:p>
    <w:p>
      <w:pPr>
        <w:spacing w:line="276" w:lineRule="auto"/>
        <w:ind w:left="1701" w:hanging="1701"/>
        <w:jc w:val="left"/>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0208/455-6005/42, </w:t>
      </w:r>
      <w:r>
        <w:rPr>
          <w:color w:val="333333"/>
          <w:u w:val="single"/>
        </w:rPr>
        <w:t>Fax</w:t>
      </w:r>
      <w:r>
        <w:rPr>
          <w:color w:val="333333"/>
        </w:rPr>
        <w:t>:</w:t>
      </w:r>
      <w:r>
        <w:t xml:space="preserve"> 0208/455-58-6005, </w:t>
      </w:r>
      <w:r>
        <w:rPr>
          <w:color w:val="333333"/>
          <w:u w:val="single"/>
        </w:rPr>
        <w:t>E-Mail</w:t>
      </w:r>
      <w:r>
        <w:rPr>
          <w:color w:val="333333"/>
        </w:rPr>
        <w:t>:</w:t>
      </w:r>
      <w:r>
        <w:t xml:space="preserve"> vergabe@muelheim-ruhr.de </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23. September 2025</w:t>
            </w:r>
            <w:r>
              <w:rPr>
                <w:b/>
              </w:rPr>
              <w:t>,</w:t>
            </w:r>
            <w:r>
              <w:t xml:space="preserve"> um </w:t>
            </w:r>
            <w:r>
              <w:rPr>
                <w:b/>
                <w:u w:val="single"/>
              </w:rPr>
              <w:t xml:space="preserve">09:00 </w:t>
            </w:r>
            <w:r>
              <w:rPr>
                <w:b/>
                <w:color w:val="000000"/>
                <w:u w:val="single"/>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bookmarkStart w:id="0" w:name="_GoBack"/>
      <w:bookmarkEnd w:id="0"/>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uppressAutoHyphens/>
        <w:spacing w:line="240" w:lineRule="auto"/>
        <w:jc w:val="center"/>
        <w:rPr>
          <w:color w:val="FF0000"/>
        </w:rPr>
      </w:pPr>
    </w:p>
    <w:p>
      <w:pPr>
        <w:spacing w:line="240" w:lineRule="auto"/>
        <w:jc w:val="left"/>
        <w:rPr>
          <w:sz w:val="6"/>
          <w:szCs w:val="6"/>
        </w:rPr>
      </w:pPr>
    </w:p>
    <w:tbl>
      <w:tblPr>
        <w:tblW w:w="6880" w:type="dxa"/>
        <w:tblInd w:w="1229" w:type="dxa"/>
        <w:tblLayout w:type="fixed"/>
        <w:tblCellMar>
          <w:left w:w="57" w:type="dxa"/>
          <w:right w:w="57" w:type="dxa"/>
        </w:tblCellMar>
        <w:tblLook w:val="01E0" w:firstRow="1" w:lastRow="1" w:firstColumn="1" w:lastColumn="1" w:noHBand="0" w:noVBand="0"/>
      </w:tblPr>
      <w:tblGrid>
        <w:gridCol w:w="3927"/>
        <w:gridCol w:w="2953"/>
      </w:tblGrid>
      <w:tr>
        <w:trPr>
          <w:trHeight w:val="263"/>
        </w:trPr>
        <w:tc>
          <w:tcPr>
            <w:tcW w:w="3927" w:type="dxa"/>
            <w:shd w:val="clear" w:color="auto" w:fill="auto"/>
          </w:tcPr>
          <w:p>
            <w:pPr>
              <w:spacing w:line="240" w:lineRule="auto"/>
              <w:jc w:val="right"/>
            </w:pPr>
            <w:r>
              <w:t>Vorgesehener Baubeginn:</w:t>
            </w:r>
          </w:p>
        </w:tc>
        <w:tc>
          <w:tcPr>
            <w:tcW w:w="2953" w:type="dxa"/>
            <w:shd w:val="clear" w:color="auto" w:fill="auto"/>
          </w:tcPr>
          <w:p>
            <w:pPr>
              <w:spacing w:line="240" w:lineRule="auto"/>
              <w:jc w:val="left"/>
              <w:rPr>
                <w:b/>
              </w:rPr>
            </w:pPr>
            <w:r>
              <w:rPr>
                <w:b/>
              </w:rPr>
              <w:t>22. Oktober 2025</w:t>
            </w:r>
          </w:p>
          <w:p>
            <w:pPr>
              <w:spacing w:line="240" w:lineRule="auto"/>
              <w:jc w:val="left"/>
              <w:rPr>
                <w:b/>
              </w:rPr>
            </w:pPr>
          </w:p>
        </w:tc>
      </w:tr>
      <w:tr>
        <w:trPr>
          <w:trHeight w:val="378"/>
        </w:trPr>
        <w:tc>
          <w:tcPr>
            <w:tcW w:w="3927" w:type="dxa"/>
            <w:shd w:val="clear" w:color="auto" w:fill="auto"/>
          </w:tcPr>
          <w:p>
            <w:pPr>
              <w:jc w:val="right"/>
            </w:pPr>
            <w:r>
              <w:t>Vorgesehene Ausführungsfrist:</w:t>
            </w:r>
          </w:p>
        </w:tc>
        <w:tc>
          <w:tcPr>
            <w:tcW w:w="2953" w:type="dxa"/>
            <w:shd w:val="clear" w:color="auto" w:fill="auto"/>
          </w:tcPr>
          <w:p>
            <w:pPr>
              <w:spacing w:line="240" w:lineRule="auto"/>
              <w:jc w:val="left"/>
              <w:rPr>
                <w:b/>
              </w:rPr>
            </w:pPr>
            <w:r>
              <w:rPr>
                <w:b/>
              </w:rPr>
              <w:t>bis 31. Dezember 2025</w:t>
            </w:r>
          </w:p>
          <w:p>
            <w:pPr>
              <w:spacing w:line="240" w:lineRule="auto"/>
              <w:jc w:val="left"/>
              <w:rPr>
                <w:b/>
              </w:rPr>
            </w:pPr>
          </w:p>
        </w:tc>
      </w:tr>
    </w:tbl>
    <w:p>
      <w:pPr>
        <w:suppressAutoHyphens/>
        <w:spacing w:line="240" w:lineRule="auto"/>
        <w:ind w:left="2832" w:firstLine="708"/>
      </w:pPr>
      <w:r>
        <w:t xml:space="preserve">       Bindefrist:  </w:t>
      </w:r>
      <w:r>
        <w:rPr>
          <w:b/>
          <w:i/>
        </w:rPr>
        <w:t xml:space="preserve"> 21. Oktober 2025</w:t>
      </w:r>
    </w:p>
    <w:p>
      <w:pPr>
        <w:suppressAutoHyphens/>
        <w:spacing w:line="240" w:lineRule="auto"/>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326"/>
        <w:gridCol w:w="2881"/>
      </w:tblGrid>
      <w:tr>
        <w:trPr>
          <w:trHeight w:val="420"/>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rPr>
                <w:b/>
              </w:rPr>
            </w:pPr>
            <w:r>
              <w:rPr>
                <w:u w:val="single"/>
              </w:rPr>
              <w:t>Angebotssumme</w:t>
            </w:r>
            <w:r>
              <w:t>:</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r>
              <w:t xml:space="preserve">                              € (brutto)</w:t>
            </w:r>
          </w:p>
        </w:tc>
      </w:tr>
      <w:tr>
        <w:trPr>
          <w:trHeight w:val="252"/>
        </w:trPr>
        <w:tc>
          <w:tcPr>
            <w:tcW w:w="3999" w:type="dxa"/>
            <w:gridSpan w:val="2"/>
            <w:tcBorders>
              <w:top w:val="single" w:sz="4" w:space="0" w:color="auto"/>
              <w:bottom w:val="single" w:sz="4" w:space="0" w:color="auto"/>
            </w:tcBorders>
            <w:shd w:val="clear" w:color="auto" w:fill="auto"/>
          </w:tcPr>
          <w:p>
            <w:pPr>
              <w:suppressAutoHyphens/>
              <w:spacing w:line="240" w:lineRule="auto"/>
              <w:rPr>
                <w:u w:val="single"/>
              </w:rPr>
            </w:pPr>
          </w:p>
        </w:tc>
        <w:tc>
          <w:tcPr>
            <w:tcW w:w="2881" w:type="dxa"/>
            <w:tcBorders>
              <w:top w:val="single" w:sz="4" w:space="0" w:color="auto"/>
              <w:bottom w:val="single" w:sz="4" w:space="0" w:color="auto"/>
            </w:tcBorders>
            <w:shd w:val="clear" w:color="auto" w:fill="auto"/>
          </w:tcPr>
          <w:p>
            <w:pPr>
              <w:suppressAutoHyphens/>
              <w:spacing w:line="240" w:lineRule="auto"/>
            </w:pPr>
          </w:p>
        </w:tc>
      </w:tr>
      <w:tr>
        <w:trPr>
          <w:trHeight w:val="521"/>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pPr>
            <w:r>
              <w:rPr>
                <w:u w:val="single"/>
              </w:rPr>
              <w:t>Nachlass ohne Bedingungen</w:t>
            </w:r>
            <w:r>
              <w:t>:</w:t>
            </w:r>
          </w:p>
          <w:p>
            <w:pPr>
              <w:suppressAutoHyphens/>
              <w:spacing w:line="240" w:lineRule="auto"/>
              <w:rPr>
                <w:b/>
              </w:rPr>
            </w:pPr>
            <w:r>
              <w:t>(gilt auch für Nachträge)</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p>
        </w:tc>
      </w:tr>
    </w:tbl>
    <w:p>
      <w:pPr>
        <w:suppressAutoHyphens/>
        <w:spacing w:line="240" w:lineRule="auto"/>
      </w:pPr>
    </w:p>
    <w:p>
      <w:pPr>
        <w:suppressAutoHyphens/>
        <w:spacing w:line="240" w:lineRule="auto"/>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rPr>
          <w:sz w:val="10"/>
          <w:szCs w:val="10"/>
        </w:rPr>
      </w:pPr>
    </w:p>
    <w:p>
      <w:pPr>
        <w:suppressAutoHyphens/>
        <w:spacing w:line="240" w:lineRule="auto"/>
        <w:rPr>
          <w:b/>
          <w:i/>
          <w:color w:val="FF0000"/>
          <w:sz w:val="22"/>
          <w:szCs w:val="22"/>
        </w:rPr>
      </w:pPr>
      <w:r>
        <w:rPr>
          <w:b/>
          <w:i/>
          <w:color w:val="FF0000"/>
          <w:sz w:val="22"/>
          <w:szCs w:val="22"/>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76" w:lineRule="auto"/>
        <w:jc w:val="left"/>
        <w:rPr>
          <w:u w:val="single"/>
        </w:rPr>
      </w:pPr>
      <w:r>
        <w:rPr>
          <w:sz w:val="18"/>
          <w:szCs w:val="18"/>
          <w:u w:val="single"/>
        </w:rPr>
        <w:t>Rechtsaufsicht (vormals Vergabeprüfstelle):</w:t>
      </w:r>
    </w:p>
    <w:p>
      <w:pPr>
        <w:spacing w:line="276" w:lineRule="auto"/>
        <w:jc w:val="left"/>
        <w:rPr>
          <w:sz w:val="18"/>
          <w:szCs w:val="18"/>
        </w:rPr>
      </w:pPr>
      <w:r>
        <w:rPr>
          <w:sz w:val="16"/>
          <w:szCs w:val="16"/>
        </w:rPr>
        <w:t xml:space="preserve">Bezirksregierung Düsseldorf, Dezernat 34, Am </w:t>
      </w:r>
      <w:proofErr w:type="spellStart"/>
      <w:r>
        <w:rPr>
          <w:sz w:val="16"/>
          <w:szCs w:val="16"/>
        </w:rPr>
        <w:t>Bonneshof</w:t>
      </w:r>
      <w:proofErr w:type="spellEnd"/>
      <w:r>
        <w:rPr>
          <w:sz w:val="16"/>
          <w:szCs w:val="16"/>
        </w:rPr>
        <w:t xml:space="preserve"> 35, 40474 Düsseldorf</w:t>
      </w:r>
    </w:p>
    <w:sectPr>
      <w:pgSz w:w="11906" w:h="16838"/>
      <w:pgMar w:top="851" w:right="1134" w:bottom="851"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2721F6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54F990-EE26-415B-B856-76C1846DB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Words>
  <Characters>1853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Lindken, Christina</cp:lastModifiedBy>
  <cp:revision>26</cp:revision>
  <dcterms:created xsi:type="dcterms:W3CDTF">2024-11-21T07:52:00Z</dcterms:created>
  <dcterms:modified xsi:type="dcterms:W3CDTF">2025-09-01T09:43:00Z</dcterms:modified>
</cp:coreProperties>
</file>